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25" w:rsidRDefault="00A72405">
      <w:pPr>
        <w:pStyle w:val="p0"/>
        <w:spacing w:before="0" w:beforeAutospacing="0" w:after="0" w:afterAutospacing="0" w:line="400" w:lineRule="exact"/>
        <w:ind w:firstLine="555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  <w:shd w:val="clear" w:color="auto" w:fill="FFFFFF"/>
        </w:rPr>
        <w:t>研究生院（部）部门负责人工作职责</w:t>
      </w:r>
    </w:p>
    <w:p w:rsidR="001B2F25" w:rsidRDefault="001B2F25">
      <w:pPr>
        <w:pStyle w:val="p0"/>
        <w:spacing w:before="0" w:beforeAutospacing="0" w:after="0" w:afterAutospacing="0" w:line="400" w:lineRule="exact"/>
        <w:ind w:firstLine="555"/>
        <w:rPr>
          <w:rFonts w:ascii="方正楷体简体" w:eastAsia="方正楷体简体"/>
          <w:b/>
          <w:color w:val="4A4A4A"/>
          <w:sz w:val="28"/>
          <w:szCs w:val="28"/>
        </w:rPr>
      </w:pPr>
    </w:p>
    <w:p w:rsidR="001B2F25" w:rsidRDefault="00A72405">
      <w:pPr>
        <w:spacing w:line="400" w:lineRule="exact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z w:val="28"/>
          <w:szCs w:val="28"/>
        </w:rPr>
        <w:t>1.</w:t>
      </w:r>
      <w:r>
        <w:rPr>
          <w:rFonts w:ascii="方正楷体简体" w:eastAsia="方正楷体简体" w:hint="eastAsia"/>
          <w:sz w:val="28"/>
          <w:szCs w:val="28"/>
        </w:rPr>
        <w:t>主持研究生院（部）全面工作。在主管校长的领导下，加强管理，保证研究生院（部）各项工作任务的顺利完成；</w:t>
      </w:r>
    </w:p>
    <w:p w:rsidR="001B2F25" w:rsidRDefault="00A72405">
      <w:pPr>
        <w:spacing w:line="400" w:lineRule="exact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z w:val="28"/>
          <w:szCs w:val="28"/>
        </w:rPr>
        <w:t>2.</w:t>
      </w:r>
      <w:r>
        <w:rPr>
          <w:rFonts w:ascii="方正楷体简体" w:eastAsia="方正楷体简体" w:hint="eastAsia"/>
          <w:sz w:val="28"/>
          <w:szCs w:val="28"/>
        </w:rPr>
        <w:t>贯彻执行国家学位与研究生教育方针政策。编制学校学位与研究生教育发展规划，制定研究生教育的相关管理制度；</w:t>
      </w:r>
    </w:p>
    <w:p w:rsidR="001B2F25" w:rsidRDefault="00A72405">
      <w:pPr>
        <w:spacing w:line="400" w:lineRule="exact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z w:val="28"/>
          <w:szCs w:val="28"/>
        </w:rPr>
        <w:t>3.</w:t>
      </w:r>
      <w:r>
        <w:rPr>
          <w:rFonts w:ascii="方正楷体简体" w:eastAsia="方正楷体简体" w:hint="eastAsia"/>
          <w:sz w:val="28"/>
          <w:szCs w:val="28"/>
        </w:rPr>
        <w:t>负责研究生院（部）班子建设、党建思政工作及考核培养；</w:t>
      </w:r>
    </w:p>
    <w:p w:rsidR="001B2F25" w:rsidRDefault="00A72405">
      <w:pPr>
        <w:spacing w:line="400" w:lineRule="exact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z w:val="28"/>
          <w:szCs w:val="28"/>
        </w:rPr>
        <w:t>4.</w:t>
      </w:r>
      <w:r>
        <w:rPr>
          <w:rFonts w:ascii="方正楷体简体" w:eastAsia="方正楷体简体" w:hint="eastAsia"/>
          <w:sz w:val="28"/>
          <w:szCs w:val="28"/>
        </w:rPr>
        <w:t>全面领导与负责博士、硕士学位点的申报、建设、评估工作；</w:t>
      </w:r>
    </w:p>
    <w:p w:rsidR="001B2F25" w:rsidRDefault="00A72405">
      <w:pPr>
        <w:spacing w:line="400" w:lineRule="exact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z w:val="28"/>
          <w:szCs w:val="28"/>
        </w:rPr>
        <w:t>5.</w:t>
      </w:r>
      <w:r>
        <w:rPr>
          <w:rFonts w:ascii="方正楷体简体" w:eastAsia="方正楷体简体" w:hint="eastAsia"/>
          <w:sz w:val="28"/>
          <w:szCs w:val="28"/>
        </w:rPr>
        <w:t>组织研究生教育培养研究与改革工作；</w:t>
      </w:r>
    </w:p>
    <w:p w:rsidR="001B2F25" w:rsidRDefault="00A72405">
      <w:pPr>
        <w:spacing w:line="400" w:lineRule="exact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z w:val="28"/>
          <w:szCs w:val="28"/>
        </w:rPr>
        <w:t>6.</w:t>
      </w:r>
      <w:r>
        <w:rPr>
          <w:rFonts w:ascii="方正楷体简体" w:eastAsia="方正楷体简体" w:hint="eastAsia"/>
          <w:sz w:val="28"/>
          <w:szCs w:val="28"/>
        </w:rPr>
        <w:t>全面领导协调处理研究生招生、录取、培养、学位授予、就业及思想政治教育工作；</w:t>
      </w:r>
    </w:p>
    <w:p w:rsidR="001B2F25" w:rsidRDefault="00A72405">
      <w:pPr>
        <w:spacing w:line="400" w:lineRule="exact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z w:val="28"/>
          <w:szCs w:val="28"/>
        </w:rPr>
        <w:t>7.</w:t>
      </w:r>
      <w:r>
        <w:rPr>
          <w:rFonts w:ascii="方正楷体简体" w:eastAsia="方正楷体简体" w:hint="eastAsia"/>
          <w:sz w:val="28"/>
          <w:szCs w:val="28"/>
        </w:rPr>
        <w:t>负责学校学位评定委员会办公室工作；</w:t>
      </w:r>
    </w:p>
    <w:p w:rsidR="001B2F25" w:rsidRDefault="00A72405">
      <w:pPr>
        <w:spacing w:line="400" w:lineRule="exact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z w:val="28"/>
          <w:szCs w:val="28"/>
        </w:rPr>
        <w:t>8.</w:t>
      </w:r>
      <w:r>
        <w:rPr>
          <w:rFonts w:ascii="方正楷体简体" w:eastAsia="方正楷体简体" w:hint="eastAsia"/>
          <w:sz w:val="28"/>
          <w:szCs w:val="28"/>
        </w:rPr>
        <w:t>负责研究生院（部）年度工作计划制定与实施；</w:t>
      </w:r>
    </w:p>
    <w:p w:rsidR="001B2F25" w:rsidRDefault="00A72405">
      <w:pPr>
        <w:spacing w:line="400" w:lineRule="exact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z w:val="28"/>
          <w:szCs w:val="28"/>
        </w:rPr>
        <w:t>9.</w:t>
      </w:r>
      <w:r>
        <w:rPr>
          <w:rFonts w:ascii="方正楷体简体" w:eastAsia="方正楷体简体" w:hint="eastAsia"/>
          <w:sz w:val="28"/>
          <w:szCs w:val="28"/>
        </w:rPr>
        <w:t>负责研究生院（部）经费的预算编制与使用管理；</w:t>
      </w:r>
    </w:p>
    <w:p w:rsidR="001B2F25" w:rsidRDefault="00A72405">
      <w:pPr>
        <w:spacing w:line="400" w:lineRule="exact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z w:val="28"/>
          <w:szCs w:val="28"/>
        </w:rPr>
        <w:t>10.</w:t>
      </w:r>
      <w:r>
        <w:rPr>
          <w:rFonts w:ascii="方正楷体简体" w:eastAsia="方正楷体简体" w:hint="eastAsia"/>
          <w:sz w:val="28"/>
          <w:szCs w:val="28"/>
        </w:rPr>
        <w:t>完成校领导交办的其它工作。</w:t>
      </w:r>
    </w:p>
    <w:p w:rsidR="001B2F25" w:rsidRDefault="001B2F25">
      <w:bookmarkStart w:id="0" w:name="_GoBack"/>
      <w:bookmarkEnd w:id="0"/>
    </w:p>
    <w:sectPr w:rsidR="001B2F25" w:rsidSect="001B2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05" w:rsidRDefault="00A72405" w:rsidP="002467B3">
      <w:pPr>
        <w:spacing w:after="0"/>
      </w:pPr>
      <w:r>
        <w:separator/>
      </w:r>
    </w:p>
  </w:endnote>
  <w:endnote w:type="continuationSeparator" w:id="0">
    <w:p w:rsidR="00A72405" w:rsidRDefault="00A72405" w:rsidP="002467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05" w:rsidRDefault="00A72405" w:rsidP="002467B3">
      <w:pPr>
        <w:spacing w:after="0"/>
      </w:pPr>
      <w:r>
        <w:separator/>
      </w:r>
    </w:p>
  </w:footnote>
  <w:footnote w:type="continuationSeparator" w:id="0">
    <w:p w:rsidR="00A72405" w:rsidRDefault="00A72405" w:rsidP="002467B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F25"/>
    <w:rsid w:val="001B2F25"/>
    <w:rsid w:val="002467B3"/>
    <w:rsid w:val="00A72405"/>
    <w:rsid w:val="08ED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F25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B2F25"/>
    <w:pPr>
      <w:adjustRightInd/>
      <w:snapToGrid/>
      <w:spacing w:before="100" w:beforeAutospacing="1" w:after="100" w:afterAutospacing="1" w:line="260" w:lineRule="atLeast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rsid w:val="002467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67B3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2467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67B3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桂良英</cp:lastModifiedBy>
  <cp:revision>2</cp:revision>
  <dcterms:created xsi:type="dcterms:W3CDTF">2018-07-12T02:29:00Z</dcterms:created>
  <dcterms:modified xsi:type="dcterms:W3CDTF">2018-07-12T02:29:00Z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